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Table 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4"/>
          <w:szCs w:val="24"/>
          <w:rtl w:val="0"/>
        </w:rPr>
        <w:t>1: Findings of ANCA, FISH, and bone marrow aspiration</w:t>
      </w:r>
    </w:p>
    <w:tbl>
      <w:tblPr>
        <w:tblStyle w:val="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075"/>
        <w:gridCol w:w="40"/>
        <w:gridCol w:w="3114"/>
        <w:gridCol w:w="313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Parameters</w:t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Findings</w:t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Remarks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4"/>
            <w:tcBorders>
              <w:top w:val="single" w:color="000000" w:sz="4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Anti Neutrophil Cytoplasmic Antibodies (IFA)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c-ANCA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1.37 U/ml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Negative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p-ANCA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-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Negative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Fluorescent In situ hybridization (FISH)- Eosinophilic Leukemia Panel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PDGFRA rearrangement (4q12)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Negative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PDGFRB rearrangement (5q33)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Negative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FGFR1 rearrangement (8p11.22-11.23)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Negative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CBFB rearrangement (Inv 16)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Negative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</w:trPr>
        <w:tc>
          <w:tcPr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Bone marrow examination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Cellularity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Hypercellular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Erythroid series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Present with normoblastic maturation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Myeloid series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Increased with progressive maturation up to neutrophils. Markedly increased eosinophils and precursors were noted, which show dysplasia in the form of abnormal segmentation and irregular distribution of granules.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Myeloid hyperplasia</w:t>
            </w:r>
          </w:p>
        </w:tc>
      </w:tr>
    </w:tbl>
    <w:p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 xml:space="preserve">We referred the patient to another hospital for consultation. However, the hospital restarted the treatment with Praziquantel and Ivermectin. This made us doubtful of the judgment to continue ATT. </w:t>
      </w:r>
    </w:p>
    <w:p>
      <w:pPr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rtl w:val="0"/>
        </w:rPr>
        <w:t>Table 2: Report on laboratory findings of the indexed case</w:t>
      </w:r>
    </w:p>
    <w:p>
      <w:pPr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6"/>
        <w:tblW w:w="728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400"/>
        <w:gridCol w:w="288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Parameters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rtl w:val="0"/>
              </w:rPr>
              <w:t>Value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Glucose 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0.8 mg/dL (Low)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Albumin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2.9 g/dL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Protein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6.2 g/dL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Adenosine deaminase (ADA)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34 U/L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Total Leukocyte count (TLC)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21.9x10^3/uL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Differential Leukocyte count (DLC)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(2 months later)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Neutrophil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 xml:space="preserve">22%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Lymphocyte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Monocyte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Eosinophils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57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Basophils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Hemoglobin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13.5 g/dl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Platelet count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rtl w:val="0"/>
              </w:rPr>
              <w:t>333x10^3/uL</w:t>
            </w:r>
          </w:p>
        </w:tc>
      </w:tr>
    </w:tbl>
    <w:p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before="240" w:after="24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F696C"/>
    <w:rsid w:val="727F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_Style 42"/>
    <w:basedOn w:val="5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Table Normal1"/>
    <w:uiPriority w:val="0"/>
  </w:style>
  <w:style w:type="table" w:customStyle="1" w:styleId="6">
    <w:name w:val="_Style 43"/>
    <w:basedOn w:val="5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82</TotalTime>
  <ScaleCrop>false</ScaleCrop>
  <LinksUpToDate>false</LinksUpToDate>
  <CharactersWithSpaces>0</CharactersWithSpaces>
  <Application>WPS Office_11.2.0.11219_F1E327BC-269C-435d-A152-05C5408002CA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2023-05-17T10:12:00Z</dcterms:created>
  <dc:creator>Ashish Tamang</dc:creator>
  <cp:lastModifiedBy>Ashish Tamang</cp:lastModifiedBy>
  <dcterms:modified xsi:type="dcterms:W3CDTF">2023-05-17T13:04:36Z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F546FE43B6304747BF1737140B22319F</vt:lpwstr>
  </property>
</Properties>
</file>